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5.pdf" ContentType="application/pdf"/>
  <Override PartName="/word/media/rId92.png" ContentType="image/png"/>
  <Override PartName="/word/media/rId86.png" ContentType="image/png"/>
  <Override PartName="/word/media/rId80.png" ContentType="image/png"/>
  <Override PartName="/word/media/rId83.pdf" ContentType="application/pdf"/>
  <Override PartName="/word/media/rId95.png" ContentType="image/png"/>
  <Override PartName="/word/media/rId89.png" ContentType="image/png"/>
  <Override PartName="/word/media/rId74.png" ContentType="image/png"/>
  <Override PartName="/word/media/rId77.png" ContentType="image/png"/>
  <Override PartName="/word/media/rId71.pdf" ContentType="application/pdf"/>
  <Override PartName="/word/media/rId68.pdf" ContentType="application/pdf"/>
  <Override PartName="/word/media/rId98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500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</w:t>
      </w:r>
      <w:r>
        <w:t xml:space="preserve"> </w:t>
      </w:r>
      <w:r>
        <w:t xml:space="preserve">on this idea to identify genes associated with multiple 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 and glucose and plasma lipids, with transcriptome-wide gene</w:t>
      </w:r>
      <w:r>
        <w:t xml:space="preserve"> </w:t>
      </w:r>
      <w:r>
        <w:t xml:space="preserve">expression in four tissues related to metabolic disease: adipose tissue,</w:t>
      </w:r>
      <w:r>
        <w:t xml:space="preserve"> </w:t>
      </w:r>
      <w:r>
        <w:t xml:space="preserve">pancreatic islets, liver, and skeletal muscle. We measured similar</w:t>
      </w:r>
      <w:r>
        <w:t xml:space="preserve"> </w:t>
      </w:r>
      <w:r>
        <w:t xml:space="preserve">metabolic traits in the CC-RIX and gene expression from three of the</w:t>
      </w:r>
      <w:r>
        <w:t xml:space="preserve"> </w:t>
      </w:r>
      <w:r>
        <w:t xml:space="preserve">four 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 and infiltrated by</w:t>
      </w:r>
      <w:r>
        <w:t xml:space="preserve"> </w:t>
      </w:r>
      <w:r>
        <w:t xml:space="preserve">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42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45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metabolic index) in each CC-RIX individual using measured</w:t>
      </w:r>
      <w:r>
        <w:t xml:space="preserve"> </w:t>
      </w:r>
      <w:r>
        <w:t xml:space="preserve">gene expression in each tissue and the transcript loadings identified in</w:t>
      </w:r>
      <w:r>
        <w:t xml:space="preserve"> </w:t>
      </w:r>
      <w:r>
        <w:t xml:space="preserve">the 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high-fat, high-sugar diet. Loading for marker genes for other cell types</w:t>
      </w:r>
      <w:r>
        <w:t xml:space="preserve"> </w:t>
      </w:r>
      <w:r>
        <w:t xml:space="preserve">were not statistically different from zero, indicating that changes in</w:t>
      </w:r>
      <w:r>
        <w:t xml:space="preserve"> </w:t>
      </w:r>
      <w:r>
        <w:t xml:space="preserve">the abundance of those cell types 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70,71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72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73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74,75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76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74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77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78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rPr>
          <w:vertAlign w:val="superscript"/>
        </w:rPr>
        <w:t xml:space="preserve">79,80</w:t>
      </w:r>
      <w:r>
        <w:t xml:space="preserve">. 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82–84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85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86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81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87–89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rPr>
          <w:vertAlign w:val="superscript"/>
        </w:rPr>
        <w:t xml:space="preserve">90</w:t>
      </w:r>
      <w:r>
        <w:t xml:space="preserve">. The issue of</w:t>
      </w:r>
      <w:r>
        <w:t xml:space="preserve"> </w:t>
      </w:r>
      <w:r>
        <w:t xml:space="preserve">experimentation, however, is subtle. The dimension-reduction in HDMA is</w:t>
      </w:r>
      <w:r>
        <w:t xml:space="preserve"> </w:t>
      </w:r>
      <w:r>
        <w:t xml:space="preserve">distinguished by the fact that the putative causal intermediates can be</w:t>
      </w:r>
      <w:r>
        <w:t xml:space="preserve"> </w:t>
      </w:r>
      <w:r>
        <w:t xml:space="preserve">emergent states defined by the expression of thousands of genes. This is</w:t>
      </w:r>
      <w:r>
        <w:t xml:space="preserve"> </w:t>
      </w:r>
      <w:r>
        <w:t xml:space="preserve">a strength, because the mediating variable can be a higher-order process</w:t>
      </w:r>
      <w:r>
        <w:t xml:space="preserve"> </w:t>
      </w:r>
      <w:r>
        <w:t xml:space="preserve">such as</w:t>
      </w:r>
      <w:r>
        <w:t xml:space="preserve"> </w:t>
      </w:r>
      <w:r>
        <w:t xml:space="preserve">“</w:t>
      </w:r>
      <w:r>
        <w:t xml:space="preserve">macrophage activation and infiltration</w:t>
      </w:r>
      <w:r>
        <w:t xml:space="preserve">”</w:t>
      </w:r>
      <w:r>
        <w:t xml:space="preserve">, but, in contrast to</w:t>
      </w:r>
      <w:r>
        <w:t xml:space="preserve"> </w:t>
      </w:r>
      <w:r>
        <w:t xml:space="preserve">univariate hypotheses at the level of individual transcripts, the</w:t>
      </w:r>
      <w:r>
        <w:t xml:space="preserve"> </w:t>
      </w:r>
      <w:r>
        <w:t xml:space="preserve">relevant validation experiment may be technologically infeasible,</w:t>
      </w:r>
      <w:r>
        <w:t xml:space="preserve"> </w:t>
      </w:r>
      <w:r>
        <w:t xml:space="preserve">unknowable a priori, or both. Nevertheless, downstream analyses of the</w:t>
      </w:r>
      <w:r>
        <w:t xml:space="preserve"> </w:t>
      </w:r>
      <w:r>
        <w:t xml:space="preserve">composite transcripts strongly supports a causal interpretation. Indeed,</w:t>
      </w:r>
      <w:r>
        <w:t xml:space="preserve"> </w:t>
      </w: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additionally that they have a heritable</w:t>
      </w:r>
      <w:r>
        <w:t xml:space="preserve"> </w:t>
      </w:r>
      <w:r>
        <w:t xml:space="preserve">component, and that some individuals are genetically susceptible to</w:t>
      </w:r>
      <w:r>
        <w:t xml:space="preserve"> </w:t>
      </w:r>
      <w:r>
        <w:t xml:space="preserve">greater adipose inflammation 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publically available data set we</w:t>
      </w:r>
      <w:r>
        <w:t xml:space="preserve"> </w:t>
      </w:r>
      <w:r>
        <w:t xml:space="preserve">used for interpretation of the HDMA results was derived from human</w:t>
      </w:r>
      <w:r>
        <w:t xml:space="preserve"> </w:t>
      </w:r>
      <w:r>
        <w:t xml:space="preserve">tissues or cell lines, thus demonstrating the translatability of the</w:t>
      </w:r>
      <w:r>
        <w:t xml:space="preserve"> </w:t>
      </w:r>
      <w:r>
        <w:t xml:space="preserve">HDMA results to humans. That the mouse-derived adipose composite</w:t>
      </w:r>
      <w:r>
        <w:t xml:space="preserve"> </w:t>
      </w:r>
      <w:r>
        <w:t xml:space="preserve">transcript was able to classify human adipose gene expression in terms</w:t>
      </w:r>
      <w:r>
        <w:t xml:space="preserve"> </w:t>
      </w:r>
      <w:r>
        <w:t xml:space="preserve">of obesity and diabetes status further supports the direct</w:t>
      </w:r>
      <w:r>
        <w:t xml:space="preserve"> </w:t>
      </w:r>
      <w:r>
        <w:t xml:space="preserve">translatablility of these findings, the utility of HDMA, and the</w:t>
      </w:r>
      <w:r>
        <w:t xml:space="preserve"> </w:t>
      </w:r>
      <w:r>
        <w:t xml:space="preserve">continued importance of mouse models of human disease in which it is</w:t>
      </w:r>
      <w:r>
        <w:t xml:space="preserve"> </w:t>
      </w:r>
      <w:r>
        <w:t xml:space="preserve">possible to obtain complete transriptomes in mutliple tissues across</w:t>
      </w:r>
      <w:r>
        <w:t xml:space="preserve"> </w:t>
      </w:r>
      <w:r>
        <w:t xml:space="preserve">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63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Genotypes: Sequence data for the DO mice used here are available from</w:t>
      </w:r>
      <w:r>
        <w:t xml:space="preserve"> </w:t>
      </w:r>
      <w:r>
        <w:t xml:space="preserve">the Sequence Read Archive</w:t>
      </w:r>
      <w:r>
        <w:t xml:space="preserve"> </w:t>
      </w:r>
      <w:hyperlink r:id="rId59">
        <w:r>
          <w:rPr>
            <w:rStyle w:val="Hyperlink"/>
          </w:rPr>
          <w:t xml:space="preserve">https://www.ncbi.nlm.nih.gov/sra/</w:t>
        </w:r>
      </w:hyperlink>
      <w:r>
        <w:t xml:space="preserve"> </w:t>
      </w:r>
      <w:r>
        <w:t xml:space="preserve">(study</w:t>
      </w:r>
      <w:r>
        <w:t xml:space="preserve"> </w:t>
      </w:r>
      <w:r>
        <w:t xml:space="preserve">number SRP125176). Genotype data for the CC mice are available from</w:t>
      </w:r>
      <w:r>
        <w:t xml:space="preserve"> </w:t>
      </w:r>
      <w:r>
        <w:t xml:space="preserve">University of North Carolina Computational Systems Biology</w:t>
      </w:r>
      <w:r>
        <w:t xml:space="preserve"> </w:t>
      </w:r>
      <w:r>
        <w:t xml:space="preserve">(</w:t>
      </w:r>
      <w:hyperlink r:id="rId60">
        <w:r>
          <w:rPr>
            <w:rStyle w:val="Hyperlink"/>
          </w:rPr>
          <w:t xml:space="preserve">http://www.csbio.unc.edu/CCstatus/CCGenomes/</w:t>
        </w:r>
      </w:hyperlink>
      <w:r>
        <w:t xml:space="preserve">).</w:t>
      </w:r>
    </w:p>
    <w:p>
      <w:pPr>
        <w:pStyle w:val="BodyText"/>
      </w:pPr>
      <w:r>
        <w:t xml:space="preserve">Gene expression: Data can be found at the Gene Expression Omnibus</w:t>
      </w:r>
      <w:r>
        <w:t xml:space="preserve"> </w:t>
      </w:r>
      <w:r>
        <w:t xml:space="preserve">url{</w:t>
      </w:r>
      <w:hyperlink r:id="rId61">
        <w:r>
          <w:rPr>
            <w:rStyle w:val="Hyperlink"/>
          </w:rPr>
          <w:t xml:space="preserve">https://www.ncbi.nlm.nih.gov/geo/</w:t>
        </w:r>
      </w:hyperlink>
      <w:r>
        <w:t xml:space="preserve">} 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GSE266567; CC-RIX adipose tissue -</w:t>
      </w:r>
      <w:r>
        <w:t xml:space="preserve"> </w:t>
      </w:r>
      <w:r>
        <w:t xml:space="preserve">GSE237737; CC-RIX liver tissue - GSE237743; CC-RIX skeletal muscle -</w:t>
      </w:r>
      <w:r>
        <w:t xml:space="preserve"> </w:t>
      </w:r>
      <w:r>
        <w:t xml:space="preserve">GSE237747. Quantified pancreatic islet gene expression for the DO mice,</w:t>
      </w:r>
      <w:r>
        <w:t xml:space="preserve"> </w:t>
      </w:r>
      <w:r>
        <w:t xml:space="preserve">along with their genotypes and phenotypes can be found on Dryad</w:t>
      </w:r>
      <w:r>
        <w:t xml:space="preserve"> </w:t>
      </w:r>
      <w:hyperlink r:id="rId62">
        <w:r>
          <w:rPr>
            <w:rStyle w:val="Hyperlink"/>
          </w:rPr>
          <w:t xml:space="preserve">https://datadryad.org/stash/dataset/doi:10.5061/dryad.pj105</w:t>
        </w:r>
      </w:hyperlink>
      <w:r>
        <w:t xml:space="preserve">.</w:t>
      </w:r>
    </w:p>
    <w:p>
      <w:pPr>
        <w:pStyle w:val="BodyText"/>
      </w:pPr>
      <w:r>
        <w:t xml:space="preserve">Phenotypes: Metabolic phenotypes for the DO mice along with genotypes</w:t>
      </w:r>
      <w:r>
        <w:t xml:space="preserve"> </w:t>
      </w:r>
      <w:r>
        <w:t xml:space="preserve">and quantified gene expression area available from</w:t>
      </w:r>
      <w:r>
        <w:t xml:space="preserve"> </w:t>
      </w:r>
      <w:hyperlink r:id="rId62">
        <w:r>
          <w:rPr>
            <w:rStyle w:val="Hyperlink"/>
          </w:rPr>
          <w:t xml:space="preserve">https://datadryad.org/stash/dataset/doi:10.5061/dryad.pj105</w:t>
        </w:r>
      </w:hyperlink>
    </w:p>
    <w:p>
      <w:pPr>
        <w:pStyle w:val="BodyText"/>
      </w:pPr>
      <w:r>
        <w:t xml:space="preserve">Metabolic phenotypes for the CC-RIX mice are available from XXX</w:t>
      </w:r>
    </w:p>
    <w:bookmarkEnd w:id="63"/>
    <w:bookmarkStart w:id="64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 and cite funding sources.</w:t>
      </w:r>
    </w:p>
    <w:bookmarkEnd w:id="64"/>
    <w:bookmarkStart w:id="194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Figures/Supp_Fig1_eQTL.pdf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Figures/Supp_Fig_enrichments_KEGG.pdf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Figures/Supp_Fig_enrichments_GO.pdf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Figures/Supp_Fig_OxPhos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Figures/Supp_Fig_TCA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Figures/Supp_Fig_Branched_Chain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Figures/Supp_Fig_CC-RIX_Imputation.pdf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</w:t>
      </w:r>
      <w:r>
        <w:t xml:space="preserve"> </w:t>
      </w:r>
      <w:r>
        <w:t xml:space="preserve">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</w:t>
      </w:r>
      <w:r>
        <w:t xml:space="preserve"> </w:t>
      </w:r>
      <w:r>
        <w:t xml:space="preserve">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Figures/Supp_Fig_Adipose_ASC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Figures/Supp_Fig_Islet_YAPC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93" w:name="refs"/>
    <w:bookmarkStart w:id="101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1"/>
    <w:bookmarkStart w:id="102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2"/>
    <w:bookmarkStart w:id="103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3"/>
    <w:bookmarkStart w:id="104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4"/>
    <w:bookmarkStart w:id="105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5"/>
    <w:bookmarkStart w:id="106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6"/>
    <w:bookmarkStart w:id="107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7"/>
    <w:bookmarkStart w:id="108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8"/>
    <w:bookmarkStart w:id="109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9"/>
    <w:bookmarkStart w:id="110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0"/>
    <w:bookmarkStart w:id="111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1"/>
    <w:bookmarkStart w:id="112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2"/>
    <w:bookmarkStart w:id="113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3"/>
    <w:bookmarkStart w:id="114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4"/>
    <w:bookmarkStart w:id="115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5"/>
    <w:bookmarkStart w:id="116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6"/>
    <w:bookmarkStart w:id="117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7"/>
    <w:bookmarkStart w:id="118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8"/>
    <w:bookmarkStart w:id="119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9"/>
    <w:bookmarkStart w:id="120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0"/>
    <w:bookmarkStart w:id="121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1"/>
    <w:bookmarkStart w:id="122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2"/>
    <w:bookmarkStart w:id="123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3"/>
    <w:bookmarkStart w:id="124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4"/>
    <w:bookmarkStart w:id="125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5"/>
    <w:bookmarkStart w:id="126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6"/>
    <w:bookmarkStart w:id="127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7"/>
    <w:bookmarkStart w:id="128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8"/>
    <w:bookmarkStart w:id="129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9"/>
    <w:bookmarkStart w:id="131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3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1"/>
    <w:bookmarkStart w:id="132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2"/>
    <w:bookmarkStart w:id="134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3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4"/>
    <w:bookmarkStart w:id="135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5"/>
    <w:bookmarkStart w:id="136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6"/>
    <w:bookmarkStart w:id="137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7"/>
    <w:bookmarkStart w:id="138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8"/>
    <w:bookmarkStart w:id="139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39"/>
    <w:bookmarkStart w:id="140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0"/>
    <w:bookmarkStart w:id="141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1"/>
    <w:bookmarkStart w:id="142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2"/>
    <w:bookmarkStart w:id="143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3"/>
    <w:bookmarkStart w:id="144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4"/>
    <w:bookmarkStart w:id="145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5"/>
    <w:bookmarkStart w:id="146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6"/>
    <w:bookmarkStart w:id="147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7"/>
    <w:bookmarkStart w:id="148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8"/>
    <w:bookmarkStart w:id="149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49"/>
    <w:bookmarkStart w:id="150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0"/>
    <w:bookmarkStart w:id="151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1"/>
    <w:bookmarkStart w:id="152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2"/>
    <w:bookmarkStart w:id="153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3"/>
    <w:bookmarkStart w:id="154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4"/>
    <w:bookmarkStart w:id="155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5"/>
    <w:bookmarkStart w:id="156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6"/>
    <w:bookmarkStart w:id="157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7"/>
    <w:bookmarkStart w:id="158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8"/>
    <w:bookmarkStart w:id="159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59"/>
    <w:bookmarkStart w:id="160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0"/>
    <w:bookmarkStart w:id="161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1"/>
    <w:bookmarkStart w:id="162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2"/>
    <w:bookmarkStart w:id="163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3"/>
    <w:bookmarkStart w:id="164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4"/>
    <w:bookmarkStart w:id="165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5"/>
    <w:bookmarkStart w:id="166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6"/>
    <w:bookmarkStart w:id="167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7"/>
    <w:bookmarkStart w:id="168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8"/>
    <w:bookmarkStart w:id="169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69"/>
    <w:bookmarkStart w:id="170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0"/>
    <w:bookmarkStart w:id="171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1"/>
    <w:bookmarkStart w:id="172" w:name="ref-pmid28683283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2"/>
    <w:bookmarkStart w:id="173" w:name="ref-pmid15685170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3"/>
    <w:bookmarkStart w:id="174" w:name="ref-pmid3360374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4"/>
    <w:bookmarkStart w:id="175" w:name="ref-pmid32281000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5"/>
    <w:bookmarkStart w:id="176" w:name="ref-pmid27007849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6"/>
    <w:bookmarkStart w:id="177" w:name="ref-pmid28823510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7"/>
    <w:bookmarkStart w:id="178" w:name="ref-pmid24520198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78"/>
    <w:bookmarkStart w:id="179" w:name="ref-pmid21190462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79"/>
    <w:bookmarkStart w:id="180" w:name="ref-pmid16631807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0"/>
    <w:bookmarkStart w:id="181" w:name="ref-pmid38632401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Minikel, E. V., Painter, J. L., Dong, C. C. &amp; Nelson, M. R.</w:t>
      </w:r>
      <w:r>
        <w:t xml:space="preserve"> </w:t>
      </w:r>
      <w:r>
        <w:t xml:space="preserve">R</w:t>
      </w:r>
      <w:r>
        <w:t xml:space="preserve">efining the impact of genetic evidence on clinical success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629</w:t>
      </w:r>
      <w:r>
        <w:t xml:space="preserve">, 624–629 (2024).</w:t>
      </w:r>
    </w:p>
    <w:bookmarkEnd w:id="181"/>
    <w:bookmarkStart w:id="182" w:name="ref-pmid27855690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Katsanis, N.</w:t>
      </w:r>
      <w:r>
        <w:t xml:space="preserve"> </w:t>
      </w:r>
      <w:r>
        <w:t xml:space="preserve">T</w:t>
      </w:r>
      <w:r>
        <w:t xml:space="preserve">he continuum of causality in human genetic disorders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17</w:t>
      </w:r>
      <w:r>
        <w:t xml:space="preserve">, 233 (2016).</w:t>
      </w:r>
    </w:p>
    <w:bookmarkEnd w:id="182"/>
    <w:bookmarkStart w:id="183" w:name="ref-pmid31051098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3"/>
    <w:bookmarkStart w:id="184" w:name="ref-pmid29782925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4"/>
    <w:bookmarkStart w:id="185" w:name="ref-pmid120821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5"/>
    <w:bookmarkStart w:id="186" w:name="ref-pmid273049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6"/>
    <w:bookmarkStart w:id="187" w:name="ref-pmid2862250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7"/>
    <w:bookmarkStart w:id="188" w:name="ref-pmid2990644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8"/>
    <w:bookmarkStart w:id="189" w:name="ref-pmid221088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89"/>
    <w:bookmarkStart w:id="190" w:name="ref-pmid2353708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90"/>
    <w:bookmarkStart w:id="191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91"/>
    <w:bookmarkStart w:id="192" w:name="ref-pearl2009causality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Pearl, J.</w:t>
      </w:r>
      <w:r>
        <w:t xml:space="preserve"> </w:t>
      </w:r>
      <w:r>
        <w:rPr>
          <w:iCs/>
          <w:i/>
        </w:rPr>
        <w:t xml:space="preserve">Causality</w:t>
      </w:r>
      <w:r>
        <w:t xml:space="preserve">. (Cambridge University Press, 2009).</w:t>
      </w:r>
    </w:p>
    <w:bookmarkEnd w:id="192"/>
    <w:bookmarkEnd w:id="193"/>
    <w:bookmarkEnd w:id="1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5" Target="media/rId65.pdf" /><Relationship Type="http://schemas.openxmlformats.org/officeDocument/2006/relationships/image" Id="rId92" Target="media/rId92.png" /><Relationship Type="http://schemas.openxmlformats.org/officeDocument/2006/relationships/image" Id="rId86" Target="media/rId86.png" /><Relationship Type="http://schemas.openxmlformats.org/officeDocument/2006/relationships/image" Id="rId80" Target="media/rId80.png" /><Relationship Type="http://schemas.openxmlformats.org/officeDocument/2006/relationships/image" Id="rId83" Target="media/rId83.pdf" /><Relationship Type="http://schemas.openxmlformats.org/officeDocument/2006/relationships/image" Id="rId95" Target="media/rId95.png" /><Relationship Type="http://schemas.openxmlformats.org/officeDocument/2006/relationships/image" Id="rId89" Target="media/rId89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71" Target="media/rId71.pdf" /><Relationship Type="http://schemas.openxmlformats.org/officeDocument/2006/relationships/image" Id="rId68" Target="media/rId68.pdf" /><Relationship Type="http://schemas.openxmlformats.org/officeDocument/2006/relationships/image" Id="rId98" Target="media/rId98.pdf" /><Relationship Type="http://schemas.openxmlformats.org/officeDocument/2006/relationships/hyperlink" Id="rId60" Target="http://www.csbio.unc.edu/CCstatus/CCGenomes/" TargetMode="External" /><Relationship Type="http://schemas.openxmlformats.org/officeDocument/2006/relationships/hyperlink" Id="rId13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2" Target="https://datadryad.org/stash/dataset/doi:10.5061/dryad.pj105" TargetMode="External" /><Relationship Type="http://schemas.openxmlformats.org/officeDocument/2006/relationships/hyperlink" Id="rId133" Target="https://doi.org/10.1101/060012" TargetMode="External" /><Relationship Type="http://schemas.openxmlformats.org/officeDocument/2006/relationships/hyperlink" Id="rId61" Target="https://www.ncbi.nlm.nih.gov/geo/" TargetMode="External" /><Relationship Type="http://schemas.openxmlformats.org/officeDocument/2006/relationships/hyperlink" Id="rId59" Target="https://www.ncbi.nlm.nih.gov/sra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0" Target="http://www.csbio.unc.edu/CCstatus/CCGenomes/" TargetMode="External" /><Relationship Type="http://schemas.openxmlformats.org/officeDocument/2006/relationships/hyperlink" Id="rId13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2" Target="https://datadryad.org/stash/dataset/doi:10.5061/dryad.pj105" TargetMode="External" /><Relationship Type="http://schemas.openxmlformats.org/officeDocument/2006/relationships/hyperlink" Id="rId133" Target="https://doi.org/10.1101/060012" TargetMode="External" /><Relationship Type="http://schemas.openxmlformats.org/officeDocument/2006/relationships/hyperlink" Id="rId61" Target="https://www.ncbi.nlm.nih.gov/geo/" TargetMode="External" /><Relationship Type="http://schemas.openxmlformats.org/officeDocument/2006/relationships/hyperlink" Id="rId59" Target="https://www.ncbi.nlm.nih.gov/sra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2024-09-03T16:35:32Z</dcterms:created>
  <dcterms:modified xsi:type="dcterms:W3CDTF">2024-09-03T16:35:32Z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